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A4" w:rsidRPr="00A507A4" w:rsidRDefault="00A507A4" w:rsidP="00F97F44">
      <w:pPr>
        <w:spacing w:after="0" w:line="240" w:lineRule="auto"/>
        <w:jc w:val="center"/>
        <w:rPr>
          <w:b/>
          <w:i/>
        </w:rPr>
      </w:pPr>
      <w:bookmarkStart w:id="0" w:name="_GoBack"/>
      <w:bookmarkEnd w:id="0"/>
      <w:r w:rsidRPr="00A507A4">
        <w:rPr>
          <w:b/>
          <w:i/>
        </w:rPr>
        <w:t>EARLY CHILDHOOD EDUCATION</w:t>
      </w:r>
    </w:p>
    <w:p w:rsidR="00A507A4" w:rsidRPr="00A507A4" w:rsidRDefault="00A507A4" w:rsidP="00F97F44">
      <w:pPr>
        <w:spacing w:after="0" w:line="240" w:lineRule="auto"/>
        <w:jc w:val="center"/>
        <w:rPr>
          <w:b/>
          <w:i/>
        </w:rPr>
      </w:pPr>
      <w:r w:rsidRPr="00A507A4">
        <w:rPr>
          <w:b/>
          <w:i/>
        </w:rPr>
        <w:t>GUIDANCE FOR REIMBURSEMENT OF FEDERAL AND OTHER GRANT EXPENDITURES</w:t>
      </w:r>
    </w:p>
    <w:p w:rsidR="00A507A4" w:rsidRDefault="00A507A4" w:rsidP="00F97F44">
      <w:pPr>
        <w:spacing w:line="240" w:lineRule="auto"/>
      </w:pPr>
    </w:p>
    <w:p w:rsidR="00A507A4" w:rsidRPr="00A507A4" w:rsidRDefault="00A507A4" w:rsidP="00F97F44">
      <w:pPr>
        <w:spacing w:line="240" w:lineRule="auto"/>
        <w:rPr>
          <w:b/>
          <w:u w:val="single"/>
        </w:rPr>
      </w:pPr>
      <w:r w:rsidRPr="00A507A4">
        <w:rPr>
          <w:b/>
          <w:u w:val="single"/>
        </w:rPr>
        <w:t>OVERVIEW</w:t>
      </w:r>
    </w:p>
    <w:p w:rsidR="00A507A4" w:rsidRDefault="00A507A4" w:rsidP="00F97F44">
      <w:pPr>
        <w:spacing w:line="240" w:lineRule="auto"/>
      </w:pPr>
      <w:r>
        <w:t>Cash Management Improvement Act of 1990 and 31 CFR Part 205; Education Department General Administrative Regulations (EDGAR) 34 CFR §80.21 and §74.22.</w:t>
      </w:r>
    </w:p>
    <w:p w:rsidR="00A507A4" w:rsidRDefault="00A507A4" w:rsidP="00F97F44">
      <w:pPr>
        <w:spacing w:line="240" w:lineRule="auto"/>
      </w:pPr>
      <w:r>
        <w:t xml:space="preserve">The Cash Management Improvement Act and related regulations require that states minimize the time elapsing between the transfer of funds from the United States Treasury and the expenditure of funds for program purposes.  This requirement applies to grantees such as the State of Arizona and their </w:t>
      </w:r>
      <w:proofErr w:type="spellStart"/>
      <w:r>
        <w:t>subgrantees</w:t>
      </w:r>
      <w:proofErr w:type="spellEnd"/>
      <w:r>
        <w:t xml:space="preserve">.  In other words, both the State and a </w:t>
      </w:r>
      <w:proofErr w:type="spellStart"/>
      <w:r>
        <w:t>subgrantee</w:t>
      </w:r>
      <w:proofErr w:type="spellEnd"/>
      <w:r>
        <w:t>, such as a school district, must assure that funds have been, or will be, spent within a minimal amount of time after having been drawn from the federal government.</w:t>
      </w:r>
    </w:p>
    <w:p w:rsidR="00A507A4" w:rsidRDefault="00A507A4" w:rsidP="00F97F44">
      <w:pPr>
        <w:spacing w:line="240" w:lineRule="auto"/>
      </w:pPr>
      <w:r>
        <w:t>The Early Childhood Education Unit at the Arizona Department of Education (ADE) has put in place guidance to be followe</w:t>
      </w:r>
      <w:r w:rsidR="005A2E51">
        <w:t xml:space="preserve">d by </w:t>
      </w:r>
      <w:proofErr w:type="spellStart"/>
      <w:r w:rsidR="005A2E51">
        <w:t>subgrantees</w:t>
      </w:r>
      <w:proofErr w:type="spellEnd"/>
      <w:r w:rsidR="005A2E51">
        <w:t xml:space="preserve"> in submitting R</w:t>
      </w:r>
      <w:r>
        <w:t>eimburs</w:t>
      </w:r>
      <w:r w:rsidR="005A2E51">
        <w:t>ement Requests.  Reimbursement R</w:t>
      </w:r>
      <w:r>
        <w:t xml:space="preserve">equests for the Preschool Development Grant shall be made using the Department’s electronic Grants Management Enterprise (GME) System.   </w:t>
      </w:r>
    </w:p>
    <w:p w:rsidR="00A507A4" w:rsidRDefault="00A507A4" w:rsidP="00F97F44">
      <w:pPr>
        <w:spacing w:line="240" w:lineRule="auto"/>
        <w:rPr>
          <w:b/>
          <w:u w:val="single"/>
        </w:rPr>
      </w:pPr>
    </w:p>
    <w:p w:rsidR="00A507A4" w:rsidRPr="00A507A4" w:rsidRDefault="00A507A4" w:rsidP="00F97F44">
      <w:pPr>
        <w:spacing w:line="240" w:lineRule="auto"/>
        <w:rPr>
          <w:b/>
          <w:u w:val="single"/>
        </w:rPr>
      </w:pPr>
      <w:r w:rsidRPr="00A507A4">
        <w:rPr>
          <w:b/>
          <w:u w:val="single"/>
        </w:rPr>
        <w:t>DEFINITIONS</w:t>
      </w:r>
    </w:p>
    <w:p w:rsidR="00A507A4" w:rsidRDefault="00A507A4" w:rsidP="00DD6441">
      <w:pPr>
        <w:pStyle w:val="ListParagraph"/>
        <w:numPr>
          <w:ilvl w:val="0"/>
          <w:numId w:val="2"/>
        </w:numPr>
        <w:spacing w:before="240" w:line="240" w:lineRule="auto"/>
      </w:pPr>
      <w:r w:rsidRPr="00A507A4">
        <w:rPr>
          <w:b/>
          <w:i/>
        </w:rPr>
        <w:t>Cost objective</w:t>
      </w:r>
      <w:r>
        <w:t xml:space="preserve"> means a function, organizational subdivision, contract, grant, or other activity for which cost data are needed and for which costs are incurred.</w:t>
      </w:r>
    </w:p>
    <w:p w:rsidR="00DD6441" w:rsidRDefault="00DD6441" w:rsidP="00DD6441">
      <w:pPr>
        <w:pStyle w:val="ListParagraph"/>
        <w:spacing w:before="240" w:line="240" w:lineRule="auto"/>
        <w:ind w:left="1080"/>
      </w:pPr>
    </w:p>
    <w:p w:rsidR="00DD6441" w:rsidRDefault="00A507A4" w:rsidP="00DD6441">
      <w:pPr>
        <w:pStyle w:val="ListParagraph"/>
        <w:numPr>
          <w:ilvl w:val="0"/>
          <w:numId w:val="2"/>
        </w:numPr>
        <w:spacing w:before="240" w:after="0" w:line="240" w:lineRule="auto"/>
      </w:pPr>
      <w:r w:rsidRPr="00A507A4">
        <w:rPr>
          <w:b/>
          <w:i/>
        </w:rPr>
        <w:t xml:space="preserve">Grant </w:t>
      </w:r>
      <w:r>
        <w:t>means an award of financial assistance by the federal government to the State of Arizona, Department of Education</w:t>
      </w:r>
      <w:r w:rsidR="005A2E51">
        <w:t>.</w:t>
      </w:r>
    </w:p>
    <w:p w:rsidR="00DD6441" w:rsidRDefault="00DD6441" w:rsidP="00DD6441">
      <w:pPr>
        <w:pStyle w:val="ListParagraph"/>
      </w:pPr>
    </w:p>
    <w:p w:rsidR="00A507A4" w:rsidRDefault="00A507A4" w:rsidP="00DD6441">
      <w:pPr>
        <w:pStyle w:val="ListParagraph"/>
        <w:numPr>
          <w:ilvl w:val="0"/>
          <w:numId w:val="2"/>
        </w:numPr>
        <w:spacing w:before="240" w:after="0" w:line="240" w:lineRule="auto"/>
      </w:pPr>
      <w:r w:rsidRPr="00A507A4">
        <w:rPr>
          <w:b/>
          <w:i/>
        </w:rPr>
        <w:t>Grantee</w:t>
      </w:r>
      <w:r>
        <w:t xml:space="preserve"> means the Arizona Department of Education, to which a grant is awarded by the federal government.</w:t>
      </w:r>
    </w:p>
    <w:p w:rsidR="00DD6441" w:rsidRDefault="00DD6441" w:rsidP="00DD6441">
      <w:pPr>
        <w:pStyle w:val="ListParagraph"/>
      </w:pPr>
    </w:p>
    <w:p w:rsidR="00A507A4" w:rsidRDefault="00A507A4" w:rsidP="00DD6441">
      <w:pPr>
        <w:pStyle w:val="ListParagraph"/>
        <w:numPr>
          <w:ilvl w:val="0"/>
          <w:numId w:val="2"/>
        </w:numPr>
        <w:spacing w:before="240" w:after="0" w:line="240" w:lineRule="auto"/>
      </w:pPr>
      <w:proofErr w:type="spellStart"/>
      <w:r w:rsidRPr="00A507A4">
        <w:rPr>
          <w:b/>
          <w:i/>
        </w:rPr>
        <w:t>Subgrant</w:t>
      </w:r>
      <w:proofErr w:type="spellEnd"/>
      <w:r>
        <w:t xml:space="preserve"> means an award of financial assistance to an eligible </w:t>
      </w:r>
      <w:proofErr w:type="spellStart"/>
      <w:r>
        <w:t>subgrantee</w:t>
      </w:r>
      <w:proofErr w:type="spellEnd"/>
      <w:r>
        <w:t>, in this case, awards by the Arizona Department of Education to local education agencies or other eligible entities.</w:t>
      </w:r>
    </w:p>
    <w:p w:rsidR="00DD6441" w:rsidRDefault="00DD6441" w:rsidP="00DD6441">
      <w:pPr>
        <w:pStyle w:val="ListParagraph"/>
      </w:pPr>
    </w:p>
    <w:p w:rsidR="00A507A4" w:rsidRDefault="00A507A4" w:rsidP="00DD6441">
      <w:pPr>
        <w:pStyle w:val="ListParagraph"/>
        <w:numPr>
          <w:ilvl w:val="0"/>
          <w:numId w:val="2"/>
        </w:numPr>
        <w:spacing w:before="240" w:after="0" w:line="240" w:lineRule="auto"/>
      </w:pPr>
      <w:r w:rsidRPr="00A507A4">
        <w:rPr>
          <w:b/>
          <w:i/>
        </w:rPr>
        <w:t>Subgrantee</w:t>
      </w:r>
      <w:r>
        <w:t xml:space="preserve">  means  the  local  education  agency  or  other  legal  entity to  which  a  </w:t>
      </w:r>
      <w:proofErr w:type="spellStart"/>
      <w:r>
        <w:t>subgrant</w:t>
      </w:r>
      <w:proofErr w:type="spellEnd"/>
      <w:r>
        <w:t xml:space="preserve">  is awarded and which is accountable to the Arizona Department of Education for the use of funds provided.</w:t>
      </w:r>
    </w:p>
    <w:p w:rsidR="00DD6441" w:rsidRDefault="00DD6441" w:rsidP="00DD6441">
      <w:pPr>
        <w:pStyle w:val="ListParagraph"/>
      </w:pPr>
    </w:p>
    <w:p w:rsidR="00A507A4" w:rsidRDefault="00A507A4" w:rsidP="00DD6441">
      <w:pPr>
        <w:pStyle w:val="ListParagraph"/>
        <w:numPr>
          <w:ilvl w:val="0"/>
          <w:numId w:val="2"/>
        </w:numPr>
        <w:spacing w:before="240" w:after="0" w:line="240" w:lineRule="auto"/>
      </w:pPr>
      <w:r w:rsidRPr="00A507A4">
        <w:rPr>
          <w:b/>
          <w:i/>
        </w:rPr>
        <w:t>ECE</w:t>
      </w:r>
      <w:r>
        <w:t xml:space="preserve"> means the Early Childhood Education Unit, administrator of the Preschool Development Grant</w:t>
      </w:r>
      <w:r w:rsidR="005A2E51">
        <w:t>.</w:t>
      </w:r>
      <w:r>
        <w:t xml:space="preserve"> </w:t>
      </w:r>
    </w:p>
    <w:p w:rsidR="00A507A4" w:rsidRDefault="00A507A4" w:rsidP="00F97F44">
      <w:pPr>
        <w:spacing w:line="240" w:lineRule="auto"/>
      </w:pPr>
    </w:p>
    <w:p w:rsidR="00F97F44" w:rsidRDefault="00F97F44" w:rsidP="00F97F44">
      <w:pPr>
        <w:spacing w:line="240" w:lineRule="auto"/>
      </w:pPr>
    </w:p>
    <w:p w:rsidR="00F97F44" w:rsidRDefault="00F97F44" w:rsidP="00F97F44">
      <w:pPr>
        <w:spacing w:line="240" w:lineRule="auto"/>
      </w:pPr>
    </w:p>
    <w:p w:rsidR="00A507A4" w:rsidRPr="00A507A4" w:rsidRDefault="00A507A4" w:rsidP="00F97F44">
      <w:pPr>
        <w:spacing w:line="240" w:lineRule="auto"/>
        <w:rPr>
          <w:b/>
          <w:u w:val="single"/>
        </w:rPr>
      </w:pPr>
      <w:r w:rsidRPr="00A507A4">
        <w:rPr>
          <w:b/>
          <w:u w:val="single"/>
        </w:rPr>
        <w:lastRenderedPageBreak/>
        <w:t>GUIDANCE</w:t>
      </w:r>
    </w:p>
    <w:p w:rsidR="00A507A4" w:rsidRPr="00D90B5E" w:rsidRDefault="00A507A4" w:rsidP="00F97F44">
      <w:pPr>
        <w:pStyle w:val="ListParagraph"/>
        <w:numPr>
          <w:ilvl w:val="0"/>
          <w:numId w:val="9"/>
        </w:numPr>
        <w:spacing w:line="240" w:lineRule="auto"/>
        <w:rPr>
          <w:b/>
          <w:i/>
        </w:rPr>
      </w:pPr>
      <w:r w:rsidRPr="00D90B5E">
        <w:rPr>
          <w:b/>
          <w:i/>
        </w:rPr>
        <w:t>Functionality</w:t>
      </w:r>
    </w:p>
    <w:p w:rsidR="00BF5193" w:rsidRDefault="00BF5193" w:rsidP="00F97F44">
      <w:pPr>
        <w:pStyle w:val="ListParagraph"/>
        <w:spacing w:line="240" w:lineRule="auto"/>
      </w:pPr>
    </w:p>
    <w:p w:rsidR="007C7B16" w:rsidRDefault="007C7B16" w:rsidP="00F97F44">
      <w:pPr>
        <w:pStyle w:val="ListParagraph"/>
        <w:numPr>
          <w:ilvl w:val="1"/>
          <w:numId w:val="9"/>
        </w:numPr>
        <w:spacing w:line="240" w:lineRule="auto"/>
      </w:pPr>
      <w:proofErr w:type="spellStart"/>
      <w:r>
        <w:t>Subgrantees</w:t>
      </w:r>
      <w:proofErr w:type="spellEnd"/>
      <w:r>
        <w:t xml:space="preserve"> will submit payment requests using the Reimbursement Request option of the grants management system.  See </w:t>
      </w:r>
      <w:r w:rsidRPr="005A2E51">
        <w:rPr>
          <w:highlight w:val="cyan"/>
        </w:rPr>
        <w:t>Appendix A</w:t>
      </w:r>
      <w:r>
        <w:t xml:space="preserve"> for specific instructions for preparing and submitting a Reimbursement Request.</w:t>
      </w:r>
    </w:p>
    <w:p w:rsidR="00F97F44" w:rsidRDefault="00F97F44" w:rsidP="00F97F44">
      <w:pPr>
        <w:pStyle w:val="ListParagraph"/>
        <w:spacing w:line="240" w:lineRule="auto"/>
        <w:ind w:left="1440"/>
      </w:pPr>
    </w:p>
    <w:p w:rsidR="007C7B16" w:rsidRDefault="007C7B16" w:rsidP="00F97F44">
      <w:pPr>
        <w:pStyle w:val="ListParagraph"/>
        <w:numPr>
          <w:ilvl w:val="1"/>
          <w:numId w:val="9"/>
        </w:numPr>
        <w:spacing w:line="240" w:lineRule="auto"/>
      </w:pPr>
      <w:r>
        <w:t xml:space="preserve">The Reimbursement Request option is enabled upon final approval of the </w:t>
      </w:r>
      <w:proofErr w:type="spellStart"/>
      <w:r>
        <w:t>subgrant</w:t>
      </w:r>
      <w:proofErr w:type="spellEnd"/>
      <w:r>
        <w:t xml:space="preserve"> application through GME.</w:t>
      </w:r>
    </w:p>
    <w:p w:rsidR="007C7B16" w:rsidRPr="00D90B5E" w:rsidRDefault="007C7B16" w:rsidP="00F97F44">
      <w:pPr>
        <w:pStyle w:val="ListParagraph"/>
        <w:spacing w:line="240" w:lineRule="auto"/>
        <w:ind w:left="1440"/>
        <w:rPr>
          <w:i/>
        </w:rPr>
      </w:pPr>
    </w:p>
    <w:p w:rsidR="00A507A4" w:rsidRPr="00D90B5E" w:rsidRDefault="00A507A4" w:rsidP="00F97F44">
      <w:pPr>
        <w:pStyle w:val="ListParagraph"/>
        <w:numPr>
          <w:ilvl w:val="0"/>
          <w:numId w:val="9"/>
        </w:numPr>
        <w:spacing w:line="240" w:lineRule="auto"/>
        <w:rPr>
          <w:b/>
          <w:i/>
        </w:rPr>
      </w:pPr>
      <w:r w:rsidRPr="00D90B5E">
        <w:rPr>
          <w:b/>
          <w:i/>
        </w:rPr>
        <w:t>Submission of Reimbursement Requests</w:t>
      </w:r>
    </w:p>
    <w:p w:rsidR="00BF5193" w:rsidRDefault="00BF5193" w:rsidP="00F97F44">
      <w:pPr>
        <w:pStyle w:val="ListParagraph"/>
        <w:spacing w:line="240" w:lineRule="auto"/>
      </w:pPr>
    </w:p>
    <w:p w:rsidR="007C7B16" w:rsidRDefault="007C7B16" w:rsidP="00F97F44">
      <w:pPr>
        <w:pStyle w:val="ListParagraph"/>
        <w:numPr>
          <w:ilvl w:val="1"/>
          <w:numId w:val="9"/>
        </w:numPr>
        <w:spacing w:line="240" w:lineRule="auto"/>
      </w:pPr>
      <w:r>
        <w:t xml:space="preserve">A </w:t>
      </w:r>
      <w:proofErr w:type="spellStart"/>
      <w:r>
        <w:t>subgrantee</w:t>
      </w:r>
      <w:proofErr w:type="spellEnd"/>
      <w:r>
        <w:t xml:space="preserve"> will make Reimbursement</w:t>
      </w:r>
      <w:r w:rsidR="00F97F44">
        <w:t xml:space="preserve"> Requests for individual awards.</w:t>
      </w:r>
    </w:p>
    <w:p w:rsidR="00F97F44" w:rsidRDefault="00F97F44" w:rsidP="00F97F44">
      <w:pPr>
        <w:pStyle w:val="ListParagraph"/>
        <w:spacing w:line="240" w:lineRule="auto"/>
        <w:ind w:left="1440"/>
      </w:pPr>
    </w:p>
    <w:p w:rsidR="00BF5193" w:rsidRDefault="00BF5193" w:rsidP="00F97F44">
      <w:pPr>
        <w:pStyle w:val="ListParagraph"/>
        <w:numPr>
          <w:ilvl w:val="1"/>
          <w:numId w:val="9"/>
        </w:numPr>
        <w:spacing w:line="240" w:lineRule="auto"/>
      </w:pPr>
      <w:r>
        <w:t>Preferably</w:t>
      </w:r>
      <w:r w:rsidR="00DD6441">
        <w:t>,</w:t>
      </w:r>
      <w:r>
        <w:t xml:space="preserve"> only TWO Reimbursement Request</w:t>
      </w:r>
      <w:r w:rsidR="005A2E51">
        <w:t>s</w:t>
      </w:r>
      <w:r>
        <w:t xml:space="preserve"> per month may be submitted for an individual title or award.</w:t>
      </w:r>
    </w:p>
    <w:p w:rsidR="00F97F44" w:rsidRDefault="00F97F44" w:rsidP="00F97F44">
      <w:pPr>
        <w:pStyle w:val="ListParagraph"/>
        <w:spacing w:line="240" w:lineRule="auto"/>
      </w:pPr>
    </w:p>
    <w:p w:rsidR="007459F4" w:rsidRDefault="00087997" w:rsidP="007459F4">
      <w:pPr>
        <w:pStyle w:val="ListParagraph"/>
        <w:numPr>
          <w:ilvl w:val="1"/>
          <w:numId w:val="9"/>
        </w:numPr>
        <w:spacing w:line="240" w:lineRule="auto"/>
      </w:pPr>
      <w:r>
        <w:t xml:space="preserve">A </w:t>
      </w:r>
      <w:proofErr w:type="spellStart"/>
      <w:r>
        <w:t>subgrantee</w:t>
      </w:r>
      <w:proofErr w:type="spellEnd"/>
      <w:r>
        <w:t xml:space="preserve"> may request R</w:t>
      </w:r>
      <w:r w:rsidR="00BF5193">
        <w:t>eimbursement only for (a) expenditures that have already occurred or (b) will occur within five (5) business days of receipt of funds</w:t>
      </w:r>
      <w:r w:rsidR="005A2E51">
        <w:t>.</w:t>
      </w:r>
    </w:p>
    <w:p w:rsidR="007459F4" w:rsidRDefault="007459F4" w:rsidP="007459F4">
      <w:pPr>
        <w:pStyle w:val="ListParagraph"/>
      </w:pPr>
    </w:p>
    <w:p w:rsidR="007459F4" w:rsidRPr="009D2BD8" w:rsidRDefault="006346C1" w:rsidP="007459F4">
      <w:pPr>
        <w:pStyle w:val="ListParagraph"/>
        <w:numPr>
          <w:ilvl w:val="1"/>
          <w:numId w:val="9"/>
        </w:numPr>
        <w:spacing w:line="240" w:lineRule="auto"/>
      </w:pPr>
      <w:r w:rsidRPr="009D2BD8">
        <w:t>A single Reimbursement Request</w:t>
      </w:r>
      <w:r w:rsidR="007459F4" w:rsidRPr="009D2BD8">
        <w:t xml:space="preserve"> should not exceed 20% of the approved budget. However, if it exceeds 20% of the approved budget</w:t>
      </w:r>
      <w:r w:rsidRPr="009D2BD8">
        <w:t>,</w:t>
      </w:r>
      <w:r w:rsidR="007459F4" w:rsidRPr="009D2BD8">
        <w:t xml:space="preserve"> a detail</w:t>
      </w:r>
      <w:r w:rsidRPr="009D2BD8">
        <w:t>ed</w:t>
      </w:r>
      <w:r w:rsidR="007459F4" w:rsidRPr="009D2BD8">
        <w:t xml:space="preserve"> justification will be needed for approval. </w:t>
      </w:r>
    </w:p>
    <w:p w:rsidR="00F97F44" w:rsidRDefault="00F97F44" w:rsidP="00F97F44">
      <w:pPr>
        <w:pStyle w:val="ListParagraph"/>
        <w:spacing w:line="240" w:lineRule="auto"/>
        <w:ind w:left="1440"/>
      </w:pPr>
    </w:p>
    <w:p w:rsidR="00F97F44" w:rsidRDefault="00BF5193" w:rsidP="00F97F44">
      <w:pPr>
        <w:pStyle w:val="ListParagraph"/>
        <w:numPr>
          <w:ilvl w:val="1"/>
          <w:numId w:val="9"/>
        </w:numPr>
        <w:spacing w:line="240" w:lineRule="auto"/>
      </w:pPr>
      <w:r>
        <w:t>The following examples are based upon the schedu</w:t>
      </w:r>
      <w:r w:rsidR="00087997">
        <w:t>le in Section C</w:t>
      </w:r>
      <w:r>
        <w:t>, below</w:t>
      </w:r>
    </w:p>
    <w:p w:rsidR="00F97F44" w:rsidRDefault="00F97F44" w:rsidP="00F97F44">
      <w:pPr>
        <w:pStyle w:val="ListParagraph"/>
        <w:spacing w:line="240" w:lineRule="auto"/>
      </w:pPr>
    </w:p>
    <w:p w:rsidR="00BF5193" w:rsidRDefault="00BF5193" w:rsidP="00F97F44">
      <w:pPr>
        <w:pStyle w:val="ListParagraph"/>
        <w:numPr>
          <w:ilvl w:val="2"/>
          <w:numId w:val="9"/>
        </w:numPr>
        <w:spacing w:line="240" w:lineRule="auto"/>
      </w:pPr>
      <w:r>
        <w:t xml:space="preserve">Example A:  A </w:t>
      </w:r>
      <w:proofErr w:type="spellStart"/>
      <w:r>
        <w:t>subgrantee</w:t>
      </w:r>
      <w:proofErr w:type="spellEnd"/>
      <w:r>
        <w:t xml:space="preserve"> has ordered and received supplies and has paid </w:t>
      </w:r>
      <w:r w:rsidR="00087997">
        <w:t xml:space="preserve">the vendor. The </w:t>
      </w:r>
      <w:proofErr w:type="spellStart"/>
      <w:r w:rsidR="00087997">
        <w:t>subgrantee</w:t>
      </w:r>
      <w:proofErr w:type="spellEnd"/>
      <w:r w:rsidR="00087997">
        <w:t xml:space="preserve"> may Request R</w:t>
      </w:r>
      <w:r>
        <w:t>eimbursement.</w:t>
      </w:r>
    </w:p>
    <w:p w:rsidR="00DD6441" w:rsidRDefault="00DD6441" w:rsidP="00DD6441">
      <w:pPr>
        <w:pStyle w:val="ListParagraph"/>
        <w:spacing w:line="240" w:lineRule="auto"/>
        <w:ind w:left="2160"/>
      </w:pPr>
    </w:p>
    <w:p w:rsidR="00BF5193" w:rsidRDefault="00BF5193" w:rsidP="00F97F44">
      <w:pPr>
        <w:pStyle w:val="ListParagraph"/>
        <w:numPr>
          <w:ilvl w:val="2"/>
          <w:numId w:val="9"/>
        </w:numPr>
        <w:spacing w:line="240" w:lineRule="auto"/>
      </w:pPr>
      <w:r>
        <w:t xml:space="preserve">Example B:  A </w:t>
      </w:r>
      <w:proofErr w:type="spellStart"/>
      <w:r>
        <w:t>subgrantee</w:t>
      </w:r>
      <w:proofErr w:type="spellEnd"/>
      <w:r>
        <w:t xml:space="preserve"> has ordered and received equipment but has not yet paid the vendor.  The </w:t>
      </w:r>
      <w:proofErr w:type="spellStart"/>
      <w:r>
        <w:t>subgrantee</w:t>
      </w:r>
      <w:proofErr w:type="spellEnd"/>
      <w:r>
        <w:t xml:space="preserve"> expects payment to be made on the seventh of the following month, following the monthly Board meeting.  The </w:t>
      </w:r>
      <w:proofErr w:type="spellStart"/>
      <w:r>
        <w:t>subgrantee</w:t>
      </w:r>
      <w:proofErr w:type="spellEnd"/>
      <w:r>
        <w:t xml:space="preserve"> may request reimbursement since the </w:t>
      </w:r>
      <w:proofErr w:type="spellStart"/>
      <w:r>
        <w:t>subgrantee</w:t>
      </w:r>
      <w:proofErr w:type="spellEnd"/>
      <w:r>
        <w:t xml:space="preserve"> will make payment within five (5) business days of receipt of funds.</w:t>
      </w:r>
    </w:p>
    <w:p w:rsidR="00DD6441" w:rsidRDefault="00DD6441" w:rsidP="00DD6441">
      <w:pPr>
        <w:pStyle w:val="ListParagraph"/>
        <w:spacing w:line="240" w:lineRule="auto"/>
        <w:ind w:left="2160"/>
      </w:pPr>
    </w:p>
    <w:p w:rsidR="00BF5193" w:rsidRDefault="00BF5193" w:rsidP="00F97F44">
      <w:pPr>
        <w:pStyle w:val="ListParagraph"/>
        <w:numPr>
          <w:ilvl w:val="2"/>
          <w:numId w:val="9"/>
        </w:numPr>
        <w:spacing w:line="240" w:lineRule="auto"/>
      </w:pPr>
      <w:r>
        <w:t xml:space="preserve">Example C:  A </w:t>
      </w:r>
      <w:proofErr w:type="spellStart"/>
      <w:r>
        <w:t>subgrantee</w:t>
      </w:r>
      <w:proofErr w:type="spellEnd"/>
      <w:r>
        <w:t xml:space="preserve"> makes salary payments on the first and fifteenth of each month.  In a given month, the </w:t>
      </w:r>
      <w:proofErr w:type="spellStart"/>
      <w:r>
        <w:t>subgrantee</w:t>
      </w:r>
      <w:proofErr w:type="spellEnd"/>
      <w:r>
        <w:t xml:space="preserve"> may request reimbursement for payroll expenditures actually made during the month and for the payroll scheduled for the first pay period of the following month because the </w:t>
      </w:r>
      <w:proofErr w:type="spellStart"/>
      <w:r>
        <w:t>subgrantee</w:t>
      </w:r>
      <w:proofErr w:type="spellEnd"/>
      <w:r>
        <w:t xml:space="preserve"> will make the payroll expenditure within five (5) business days of receiving the funds.   The </w:t>
      </w:r>
      <w:proofErr w:type="spellStart"/>
      <w:r>
        <w:t>subgrantee</w:t>
      </w:r>
      <w:proofErr w:type="spellEnd"/>
      <w:r>
        <w:t xml:space="preserve"> may not request reimbursement in anticipation of subsequent pay dates, that is, those occurring more than five (5) business days after receiving funds.</w:t>
      </w:r>
    </w:p>
    <w:p w:rsidR="00DD6441" w:rsidRDefault="00DD6441" w:rsidP="00DD6441">
      <w:pPr>
        <w:pStyle w:val="ListParagraph"/>
        <w:spacing w:line="240" w:lineRule="auto"/>
        <w:ind w:left="2160"/>
      </w:pPr>
    </w:p>
    <w:p w:rsidR="005A2E51" w:rsidRDefault="00BF5193" w:rsidP="00F97F44">
      <w:pPr>
        <w:pStyle w:val="ListParagraph"/>
        <w:numPr>
          <w:ilvl w:val="2"/>
          <w:numId w:val="9"/>
        </w:numPr>
        <w:spacing w:line="240" w:lineRule="auto"/>
      </w:pPr>
      <w:r>
        <w:t xml:space="preserve">Example D:  A </w:t>
      </w:r>
      <w:proofErr w:type="spellStart"/>
      <w:r>
        <w:t>subgrantee</w:t>
      </w:r>
      <w:proofErr w:type="spellEnd"/>
      <w:r>
        <w:t xml:space="preserve"> is responsible for payment of health benefits to its provider on a quarterly basis.  The </w:t>
      </w:r>
      <w:proofErr w:type="spellStart"/>
      <w:r>
        <w:t>subgrantee</w:t>
      </w:r>
      <w:proofErr w:type="spellEnd"/>
      <w:r>
        <w:t xml:space="preserve"> may request reimbursement </w:t>
      </w:r>
      <w:r>
        <w:lastRenderedPageBreak/>
        <w:t xml:space="preserve">prospectively if payment to the provider will be made within five (5) business days of receipt of funds.  </w:t>
      </w:r>
    </w:p>
    <w:p w:rsidR="00F97F44" w:rsidRDefault="00F97F44" w:rsidP="00F97F44">
      <w:pPr>
        <w:pStyle w:val="ListParagraph"/>
        <w:spacing w:line="240" w:lineRule="auto"/>
        <w:ind w:left="2160"/>
      </w:pPr>
    </w:p>
    <w:p w:rsidR="00D36A12" w:rsidRDefault="00D36A12" w:rsidP="00F97F44">
      <w:pPr>
        <w:pStyle w:val="ListParagraph"/>
        <w:spacing w:line="240" w:lineRule="auto"/>
        <w:ind w:left="2160"/>
      </w:pPr>
    </w:p>
    <w:p w:rsidR="005A2E51" w:rsidRDefault="00087997" w:rsidP="00F97F44">
      <w:pPr>
        <w:pStyle w:val="ListParagraph"/>
        <w:numPr>
          <w:ilvl w:val="1"/>
          <w:numId w:val="9"/>
        </w:numPr>
        <w:spacing w:line="240" w:lineRule="auto"/>
      </w:pPr>
      <w:r>
        <w:t>The submission of a Reimbursement R</w:t>
      </w:r>
      <w:r w:rsidR="005A2E51">
        <w:t xml:space="preserve">equest by a </w:t>
      </w:r>
      <w:proofErr w:type="spellStart"/>
      <w:r w:rsidR="005A2E51">
        <w:t>subgrantee</w:t>
      </w:r>
      <w:proofErr w:type="spellEnd"/>
      <w:r w:rsidR="005A2E51">
        <w:t xml:space="preserve"> constitutes a certification by the </w:t>
      </w:r>
      <w:proofErr w:type="spellStart"/>
      <w:r w:rsidR="005A2E51">
        <w:t>subgrantee</w:t>
      </w:r>
      <w:proofErr w:type="spellEnd"/>
      <w:r w:rsidR="005A2E51">
        <w:t xml:space="preserve"> that it has previously made the appropriate expenditures and/or will make the expenditures within five (5) business days of receipt of funds.   </w:t>
      </w:r>
    </w:p>
    <w:p w:rsidR="00F97F44" w:rsidRDefault="00F97F44" w:rsidP="00F97F44">
      <w:pPr>
        <w:pStyle w:val="ListParagraph"/>
        <w:spacing w:line="240" w:lineRule="auto"/>
        <w:ind w:left="1440"/>
      </w:pPr>
    </w:p>
    <w:p w:rsidR="00D90B5E" w:rsidRDefault="00BF5193" w:rsidP="00F97F44">
      <w:pPr>
        <w:pStyle w:val="ListParagraph"/>
        <w:numPr>
          <w:ilvl w:val="0"/>
          <w:numId w:val="16"/>
        </w:numPr>
        <w:spacing w:line="240" w:lineRule="auto"/>
      </w:pPr>
      <w:r>
        <w:t xml:space="preserve"> </w:t>
      </w:r>
      <w:r w:rsidR="00087997">
        <w:t>The submission of a Reimbursement R</w:t>
      </w:r>
      <w:r w:rsidR="00D90B5E">
        <w:t xml:space="preserve">equest by a </w:t>
      </w:r>
      <w:proofErr w:type="spellStart"/>
      <w:r w:rsidR="00D90B5E">
        <w:t>subgrantee</w:t>
      </w:r>
      <w:proofErr w:type="spellEnd"/>
      <w:r w:rsidR="00D90B5E">
        <w:t xml:space="preserve"> also constitutes a certification that the expenditures are allowable and appropriate to the cost objective(s) of the </w:t>
      </w:r>
      <w:proofErr w:type="spellStart"/>
      <w:r w:rsidR="00D90B5E">
        <w:t>subgrant</w:t>
      </w:r>
      <w:proofErr w:type="spellEnd"/>
      <w:r w:rsidR="00D90B5E">
        <w:t>.</w:t>
      </w:r>
    </w:p>
    <w:p w:rsidR="00F97F44" w:rsidRDefault="00F97F44" w:rsidP="00F97F44">
      <w:pPr>
        <w:pStyle w:val="ListParagraph"/>
        <w:spacing w:line="240" w:lineRule="auto"/>
        <w:ind w:left="1440"/>
      </w:pPr>
    </w:p>
    <w:p w:rsidR="00F97F44" w:rsidRDefault="00D90B5E" w:rsidP="00F97F44">
      <w:pPr>
        <w:pStyle w:val="ListParagraph"/>
        <w:numPr>
          <w:ilvl w:val="0"/>
          <w:numId w:val="16"/>
        </w:numPr>
        <w:spacing w:line="240" w:lineRule="auto"/>
      </w:pPr>
      <w:r>
        <w:t>Reimbursement R</w:t>
      </w:r>
      <w:r w:rsidR="007C7B16">
        <w:t>equests must be in accordance with approved grant applications.</w:t>
      </w:r>
    </w:p>
    <w:p w:rsidR="00F97F44" w:rsidRDefault="00F97F44" w:rsidP="00F97F44">
      <w:pPr>
        <w:pStyle w:val="ListParagraph"/>
        <w:spacing w:line="240" w:lineRule="auto"/>
      </w:pPr>
    </w:p>
    <w:p w:rsidR="007C7B16" w:rsidRDefault="007C7B16" w:rsidP="00F97F44">
      <w:pPr>
        <w:pStyle w:val="ListParagraph"/>
        <w:numPr>
          <w:ilvl w:val="1"/>
          <w:numId w:val="9"/>
        </w:numPr>
        <w:spacing w:line="240" w:lineRule="auto"/>
      </w:pPr>
      <w:proofErr w:type="spellStart"/>
      <w:r>
        <w:t>Subgrantees</w:t>
      </w:r>
      <w:proofErr w:type="spellEnd"/>
      <w:r>
        <w:t xml:space="preserve"> are responsible for submitting an amendment application to the Arizona Department of Education for approval if a new budget category for which no funds were previously budgeted or approved has been created.</w:t>
      </w:r>
    </w:p>
    <w:p w:rsidR="00F97F44" w:rsidRDefault="00F97F44" w:rsidP="00F97F44">
      <w:pPr>
        <w:pStyle w:val="ListParagraph"/>
        <w:spacing w:line="240" w:lineRule="auto"/>
        <w:ind w:left="1440"/>
      </w:pPr>
    </w:p>
    <w:p w:rsidR="007C7B16" w:rsidRDefault="007C7B16" w:rsidP="00F97F44">
      <w:pPr>
        <w:pStyle w:val="ListParagraph"/>
        <w:numPr>
          <w:ilvl w:val="1"/>
          <w:numId w:val="9"/>
        </w:numPr>
        <w:spacing w:line="240" w:lineRule="auto"/>
      </w:pPr>
      <w:proofErr w:type="spellStart"/>
      <w:r>
        <w:t>Subgrantees</w:t>
      </w:r>
      <w:proofErr w:type="spellEnd"/>
      <w:r>
        <w:t xml:space="preserve">  are  responsible  for  submitting  an  amendment  application  to  the Arizona Department of Education for approval if cumulative transfers among expenditure categories exceed 10%  of  the  total  award. </w:t>
      </w:r>
      <w:proofErr w:type="spellStart"/>
      <w:r>
        <w:t>Subgrantees</w:t>
      </w:r>
      <w:proofErr w:type="spellEnd"/>
      <w:r>
        <w:t xml:space="preserve"> are responsible for monitoring the cumulative 10% level of fiscal change.</w:t>
      </w:r>
    </w:p>
    <w:p w:rsidR="00D90B5E" w:rsidRDefault="00D90B5E" w:rsidP="00F97F44">
      <w:pPr>
        <w:pStyle w:val="ListParagraph"/>
        <w:spacing w:line="240" w:lineRule="auto"/>
        <w:ind w:left="1440"/>
      </w:pPr>
    </w:p>
    <w:p w:rsidR="00A507A4" w:rsidRDefault="00A507A4" w:rsidP="00F97F44">
      <w:pPr>
        <w:pStyle w:val="ListParagraph"/>
        <w:numPr>
          <w:ilvl w:val="0"/>
          <w:numId w:val="9"/>
        </w:numPr>
        <w:spacing w:line="240" w:lineRule="auto"/>
        <w:rPr>
          <w:b/>
          <w:i/>
        </w:rPr>
      </w:pPr>
      <w:r w:rsidRPr="00D90B5E">
        <w:rPr>
          <w:b/>
          <w:i/>
        </w:rPr>
        <w:t>Processing Timelines</w:t>
      </w:r>
    </w:p>
    <w:p w:rsidR="00D90B5E" w:rsidRPr="00D90B5E" w:rsidRDefault="00D90B5E" w:rsidP="00F97F44">
      <w:pPr>
        <w:pStyle w:val="ListParagraph"/>
        <w:spacing w:line="240" w:lineRule="auto"/>
        <w:rPr>
          <w:b/>
          <w:i/>
        </w:rPr>
      </w:pPr>
    </w:p>
    <w:p w:rsidR="00D90B5E" w:rsidRDefault="00087997" w:rsidP="00F97F44">
      <w:pPr>
        <w:pStyle w:val="ListParagraph"/>
        <w:numPr>
          <w:ilvl w:val="1"/>
          <w:numId w:val="9"/>
        </w:numPr>
        <w:spacing w:after="0" w:line="240" w:lineRule="auto"/>
      </w:pPr>
      <w:r>
        <w:t xml:space="preserve">A </w:t>
      </w:r>
      <w:proofErr w:type="spellStart"/>
      <w:r>
        <w:t>subgrantee</w:t>
      </w:r>
      <w:proofErr w:type="spellEnd"/>
      <w:r>
        <w:t xml:space="preserve"> may submit R</w:t>
      </w:r>
      <w:r w:rsidR="00D90B5E">
        <w:t xml:space="preserve">eimbursement </w:t>
      </w:r>
      <w:r>
        <w:t>R</w:t>
      </w:r>
      <w:r w:rsidR="00D90B5E">
        <w:t xml:space="preserve">equests at any time after the </w:t>
      </w:r>
      <w:proofErr w:type="spellStart"/>
      <w:r w:rsidR="00D90B5E">
        <w:t>subgrant</w:t>
      </w:r>
      <w:proofErr w:type="spellEnd"/>
      <w:r w:rsidR="00D90B5E">
        <w:t xml:space="preserve"> has received final ADE approval.</w:t>
      </w:r>
      <w:r>
        <w:t xml:space="preserve">  Preferably, no more than TWO Reimbursement R</w:t>
      </w:r>
      <w:r w:rsidR="00D90B5E">
        <w:t>equest</w:t>
      </w:r>
      <w:r w:rsidR="007459F4">
        <w:t>s</w:t>
      </w:r>
      <w:r w:rsidR="00D90B5E">
        <w:t xml:space="preserve"> may be submitted per month for any one </w:t>
      </w:r>
      <w:proofErr w:type="spellStart"/>
      <w:r w:rsidR="00D90B5E">
        <w:t>subgrant</w:t>
      </w:r>
      <w:proofErr w:type="spellEnd"/>
      <w:r w:rsidR="00D90B5E">
        <w:t>.</w:t>
      </w:r>
    </w:p>
    <w:p w:rsidR="00F97F44" w:rsidRDefault="00F97F44" w:rsidP="00F97F44">
      <w:pPr>
        <w:spacing w:after="0" w:line="240" w:lineRule="auto"/>
        <w:ind w:left="1080"/>
      </w:pPr>
    </w:p>
    <w:p w:rsidR="00D90B5E" w:rsidRDefault="00D90B5E" w:rsidP="00F97F44">
      <w:pPr>
        <w:pStyle w:val="ListParagraph"/>
        <w:numPr>
          <w:ilvl w:val="1"/>
          <w:numId w:val="9"/>
        </w:numPr>
        <w:spacing w:after="0" w:line="240" w:lineRule="auto"/>
      </w:pPr>
      <w:r>
        <w:t>Payment requests will be process</w:t>
      </w:r>
      <w:r w:rsidR="00DD6441">
        <w:t>ed</w:t>
      </w:r>
      <w:r>
        <w:t xml:space="preserve"> by ADE within 10 business days of submittal. </w:t>
      </w:r>
    </w:p>
    <w:p w:rsidR="00D90B5E" w:rsidRDefault="00D90B5E" w:rsidP="00F97F44">
      <w:pPr>
        <w:pStyle w:val="ListParagraph"/>
        <w:spacing w:after="0" w:line="240" w:lineRule="auto"/>
        <w:ind w:left="1440"/>
      </w:pPr>
    </w:p>
    <w:p w:rsidR="00D90B5E" w:rsidRPr="00D90B5E" w:rsidRDefault="00D90B5E" w:rsidP="00F97F44">
      <w:pPr>
        <w:pStyle w:val="ListParagraph"/>
        <w:numPr>
          <w:ilvl w:val="0"/>
          <w:numId w:val="9"/>
        </w:numPr>
        <w:spacing w:after="0" w:line="240" w:lineRule="auto"/>
        <w:rPr>
          <w:b/>
          <w:i/>
        </w:rPr>
      </w:pPr>
      <w:r w:rsidRPr="00D90B5E">
        <w:rPr>
          <w:b/>
          <w:i/>
        </w:rPr>
        <w:t>Content of Reimbursement Requests</w:t>
      </w:r>
    </w:p>
    <w:p w:rsidR="00D90B5E" w:rsidRDefault="00D90B5E" w:rsidP="00F97F44">
      <w:pPr>
        <w:pStyle w:val="ListParagraph"/>
        <w:spacing w:after="0" w:line="240" w:lineRule="auto"/>
      </w:pPr>
    </w:p>
    <w:p w:rsidR="00D90B5E" w:rsidRDefault="00087997" w:rsidP="00F97F44">
      <w:pPr>
        <w:pStyle w:val="ListParagraph"/>
        <w:numPr>
          <w:ilvl w:val="1"/>
          <w:numId w:val="9"/>
        </w:numPr>
        <w:spacing w:line="240" w:lineRule="auto"/>
      </w:pPr>
      <w:r>
        <w:t>Reimbursement R</w:t>
      </w:r>
      <w:r w:rsidR="00D90B5E">
        <w:t>equests must contain a brief description of the expenditures for which reimbursement is being requested.  Individual line items need not be detailed.</w:t>
      </w:r>
    </w:p>
    <w:p w:rsidR="00D90B5E" w:rsidRDefault="00DD6441" w:rsidP="00F97F44">
      <w:pPr>
        <w:pStyle w:val="ListParagraph"/>
        <w:numPr>
          <w:ilvl w:val="2"/>
          <w:numId w:val="9"/>
        </w:numPr>
        <w:spacing w:after="0" w:line="240" w:lineRule="auto"/>
      </w:pPr>
      <w:r>
        <w:t>Example:</w:t>
      </w:r>
      <w:r w:rsidR="00D90B5E" w:rsidRPr="00D90B5E">
        <w:t xml:space="preserve">  $</w:t>
      </w:r>
      <w:r>
        <w:t>2,000</w:t>
      </w:r>
      <w:r w:rsidR="00D90B5E" w:rsidRPr="00D90B5E">
        <w:t xml:space="preserve"> is being requested in the </w:t>
      </w:r>
      <w:r w:rsidR="00087997">
        <w:t>6</w:t>
      </w:r>
      <w:r w:rsidR="00D90B5E" w:rsidRPr="00D90B5E">
        <w:t>100 function code.  The description is “salaries and instructional supplies.”</w:t>
      </w:r>
    </w:p>
    <w:p w:rsidR="00F97F44" w:rsidRDefault="00F97F44" w:rsidP="00F97F44">
      <w:pPr>
        <w:pStyle w:val="ListParagraph"/>
        <w:spacing w:after="0" w:line="240" w:lineRule="auto"/>
        <w:ind w:left="2160"/>
      </w:pPr>
    </w:p>
    <w:p w:rsidR="00D90B5E" w:rsidRDefault="00D90B5E" w:rsidP="00F97F44">
      <w:pPr>
        <w:pStyle w:val="ListParagraph"/>
        <w:numPr>
          <w:ilvl w:val="1"/>
          <w:numId w:val="9"/>
        </w:numPr>
        <w:spacing w:after="0" w:line="240" w:lineRule="auto"/>
      </w:pPr>
      <w:r>
        <w:t xml:space="preserve">Expenditures must be supported by documentation at the </w:t>
      </w:r>
      <w:proofErr w:type="spellStart"/>
      <w:r>
        <w:t>subgrantee</w:t>
      </w:r>
      <w:proofErr w:type="spellEnd"/>
      <w:r>
        <w:t xml:space="preserve"> level.  </w:t>
      </w:r>
      <w:r w:rsidR="00DD6441">
        <w:t>However, t</w:t>
      </w:r>
      <w:r>
        <w:t xml:space="preserve">his documentation should not be submitted to the Arizona Department of Education with a reimbursement request. The </w:t>
      </w:r>
      <w:proofErr w:type="spellStart"/>
      <w:r>
        <w:t>subgrantee</w:t>
      </w:r>
      <w:proofErr w:type="spellEnd"/>
      <w:r>
        <w:t xml:space="preserve"> is responsible for maintaining supporting documentation for seven (7) years and for making it available to ADE, the United States Department of Education, and/or their authorized representatives upon request.</w:t>
      </w:r>
    </w:p>
    <w:p w:rsidR="00F97F44" w:rsidRDefault="00F97F44" w:rsidP="00F97F44">
      <w:pPr>
        <w:pStyle w:val="ListParagraph"/>
        <w:spacing w:after="0" w:line="240" w:lineRule="auto"/>
        <w:ind w:left="1440"/>
      </w:pPr>
    </w:p>
    <w:p w:rsidR="00D90B5E" w:rsidRDefault="00D90B5E" w:rsidP="00F97F44">
      <w:pPr>
        <w:pStyle w:val="ListParagraph"/>
        <w:numPr>
          <w:ilvl w:val="1"/>
          <w:numId w:val="9"/>
        </w:numPr>
        <w:spacing w:after="0" w:line="240" w:lineRule="auto"/>
      </w:pPr>
      <w:r>
        <w:t xml:space="preserve">Documentation for salary expenditures is subject to the requirements of the applicable federal Office of Management and Budget Circular: A-21, “Cost Principles for </w:t>
      </w:r>
      <w:r>
        <w:lastRenderedPageBreak/>
        <w:t xml:space="preserve">Educational Institutions;” A-87, “Cost Principles for State, Local, and Indian Tribal Governments;” A-122, “Cost Principles for Non-Profit Organizations;” and EDGAR. Documentation for all other expenditures must include evidence that the expenditures are allowable costs and of the relationship of the expenditure to the </w:t>
      </w:r>
      <w:proofErr w:type="spellStart"/>
      <w:r>
        <w:t>subgrant’s</w:t>
      </w:r>
      <w:proofErr w:type="spellEnd"/>
      <w:r>
        <w:t xml:space="preserve"> cost objectives.</w:t>
      </w:r>
    </w:p>
    <w:p w:rsidR="00DD6441" w:rsidRDefault="00DD6441" w:rsidP="00DD6441">
      <w:pPr>
        <w:spacing w:after="0" w:line="240" w:lineRule="auto"/>
      </w:pPr>
    </w:p>
    <w:p w:rsidR="00D90B5E" w:rsidRDefault="00D90B5E" w:rsidP="00F97F44">
      <w:pPr>
        <w:pStyle w:val="ListParagraph"/>
        <w:numPr>
          <w:ilvl w:val="0"/>
          <w:numId w:val="9"/>
        </w:numPr>
        <w:spacing w:after="0" w:line="240" w:lineRule="auto"/>
        <w:rPr>
          <w:b/>
          <w:i/>
        </w:rPr>
      </w:pPr>
      <w:r w:rsidRPr="00D90B5E">
        <w:rPr>
          <w:b/>
          <w:i/>
        </w:rPr>
        <w:t>Review and Approval of Reimbursement Requests</w:t>
      </w:r>
    </w:p>
    <w:p w:rsidR="00087997" w:rsidRDefault="00087997" w:rsidP="00F97F44">
      <w:pPr>
        <w:pStyle w:val="ListParagraph"/>
        <w:spacing w:after="0" w:line="240" w:lineRule="auto"/>
        <w:rPr>
          <w:b/>
          <w:i/>
        </w:rPr>
      </w:pPr>
    </w:p>
    <w:p w:rsidR="00D90B5E" w:rsidRPr="00D90B5E" w:rsidRDefault="00087997" w:rsidP="00F97F44">
      <w:pPr>
        <w:pStyle w:val="ListParagraph"/>
        <w:numPr>
          <w:ilvl w:val="1"/>
          <w:numId w:val="9"/>
        </w:numPr>
        <w:spacing w:after="0" w:line="240" w:lineRule="auto"/>
        <w:rPr>
          <w:b/>
          <w:i/>
        </w:rPr>
      </w:pPr>
      <w:r>
        <w:t>ECE Staff will review Reimbursement R</w:t>
      </w:r>
      <w:r w:rsidR="00D90B5E">
        <w:t xml:space="preserve">equests to determine </w:t>
      </w:r>
      <w:r w:rsidR="00DD6441">
        <w:t xml:space="preserve">whether or not the Reimbursement Request  </w:t>
      </w:r>
      <w:r w:rsidR="00D90B5E">
        <w:t>meet</w:t>
      </w:r>
      <w:r w:rsidR="007459F4">
        <w:t>s</w:t>
      </w:r>
      <w:r w:rsidR="00D90B5E">
        <w:t xml:space="preserve"> the </w:t>
      </w:r>
      <w:proofErr w:type="spellStart"/>
      <w:r w:rsidR="00D90B5E">
        <w:t>subgrant’s</w:t>
      </w:r>
      <w:proofErr w:type="spellEnd"/>
      <w:r w:rsidR="00D90B5E">
        <w:t xml:space="preserve"> criteria, including but not limited to the following:</w:t>
      </w:r>
    </w:p>
    <w:p w:rsidR="00D90B5E" w:rsidRDefault="00D90B5E" w:rsidP="00DD6441">
      <w:pPr>
        <w:pStyle w:val="ListParagraph"/>
        <w:numPr>
          <w:ilvl w:val="2"/>
          <w:numId w:val="22"/>
        </w:numPr>
        <w:spacing w:line="240" w:lineRule="auto"/>
      </w:pPr>
      <w:r>
        <w:t>Adequate description of the expenditures is provided;</w:t>
      </w:r>
    </w:p>
    <w:p w:rsidR="00D90B5E" w:rsidRDefault="00D90B5E" w:rsidP="00DD6441">
      <w:pPr>
        <w:pStyle w:val="ListParagraph"/>
        <w:numPr>
          <w:ilvl w:val="2"/>
          <w:numId w:val="22"/>
        </w:numPr>
        <w:spacing w:line="240" w:lineRule="auto"/>
      </w:pPr>
      <w:r>
        <w:t>No new budget category has been created; and</w:t>
      </w:r>
    </w:p>
    <w:p w:rsidR="00D90B5E" w:rsidRDefault="00087997" w:rsidP="00DD6441">
      <w:pPr>
        <w:pStyle w:val="ListParagraph"/>
        <w:numPr>
          <w:ilvl w:val="2"/>
          <w:numId w:val="22"/>
        </w:numPr>
        <w:spacing w:line="240" w:lineRule="auto"/>
      </w:pPr>
      <w:r>
        <w:t>Reimbursement   R</w:t>
      </w:r>
      <w:r w:rsidR="00D90B5E">
        <w:t>equest   does   not   exceed   the   allowable   threshold   for   an amendment as a result of cumulative transfers among expenditure categories.</w:t>
      </w:r>
    </w:p>
    <w:p w:rsidR="00F97F44" w:rsidRDefault="00F97F44" w:rsidP="00F97F44">
      <w:pPr>
        <w:pStyle w:val="ListParagraph"/>
        <w:spacing w:line="240" w:lineRule="auto"/>
        <w:ind w:left="2160"/>
      </w:pPr>
    </w:p>
    <w:p w:rsidR="00D90B5E" w:rsidRDefault="00087997" w:rsidP="00F97F44">
      <w:pPr>
        <w:pStyle w:val="ListParagraph"/>
        <w:numPr>
          <w:ilvl w:val="1"/>
          <w:numId w:val="9"/>
        </w:numPr>
        <w:spacing w:line="240" w:lineRule="auto"/>
      </w:pPr>
      <w:r>
        <w:t>When a R</w:t>
      </w:r>
      <w:r w:rsidR="00D90B5E">
        <w:t>ei</w:t>
      </w:r>
      <w:r>
        <w:t>mbursement R</w:t>
      </w:r>
      <w:r w:rsidR="00D90B5E">
        <w:t xml:space="preserve">equest is approved or denied, the </w:t>
      </w:r>
      <w:proofErr w:type="spellStart"/>
      <w:r w:rsidR="00D90B5E">
        <w:t>subgrantee</w:t>
      </w:r>
      <w:proofErr w:type="spellEnd"/>
      <w:r w:rsidR="00D90B5E">
        <w:t xml:space="preserve"> will receive an email notification through GME.</w:t>
      </w:r>
    </w:p>
    <w:p w:rsidR="00F97F44" w:rsidRDefault="00F97F44" w:rsidP="00F97F44">
      <w:pPr>
        <w:pStyle w:val="ListParagraph"/>
        <w:spacing w:line="240" w:lineRule="auto"/>
        <w:ind w:left="1440"/>
      </w:pPr>
    </w:p>
    <w:p w:rsidR="00D90B5E" w:rsidRDefault="00087997" w:rsidP="00F97F44">
      <w:pPr>
        <w:pStyle w:val="ListParagraph"/>
        <w:numPr>
          <w:ilvl w:val="1"/>
          <w:numId w:val="9"/>
        </w:numPr>
        <w:spacing w:line="240" w:lineRule="auto"/>
      </w:pPr>
      <w:r>
        <w:t>Approval of a Reimbursement R</w:t>
      </w:r>
      <w:r w:rsidR="00D90B5E">
        <w:t xml:space="preserve">equest by ECE does not imply approval of the expenditures as allowable or appropriate to the </w:t>
      </w:r>
      <w:proofErr w:type="spellStart"/>
      <w:r w:rsidR="00D90B5E">
        <w:t>subgrant’s</w:t>
      </w:r>
      <w:proofErr w:type="spellEnd"/>
      <w:r w:rsidR="00D90B5E">
        <w:t xml:space="preserve"> cost objectives.  Approval of expenditures will continue to be processed through the final report.  The Subgrantee assumes responsibility for assuring that all funds requested through GME either have already been expended, or will be expended, within five (5) days of receipt of payment.</w:t>
      </w:r>
    </w:p>
    <w:sectPr w:rsidR="00D90B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CE" w:rsidRDefault="00716BCE" w:rsidP="00716BCE">
      <w:pPr>
        <w:spacing w:after="0" w:line="240" w:lineRule="auto"/>
      </w:pPr>
      <w:r>
        <w:separator/>
      </w:r>
    </w:p>
  </w:endnote>
  <w:endnote w:type="continuationSeparator" w:id="0">
    <w:p w:rsidR="00716BCE" w:rsidRDefault="00716BCE" w:rsidP="0071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CE" w:rsidRDefault="00716BCE" w:rsidP="00716BCE">
    <w:pPr>
      <w:pStyle w:val="Footer"/>
      <w:pBdr>
        <w:top w:val="thinThickSmallGap" w:sz="24" w:space="1" w:color="622423" w:themeColor="accent2" w:themeShade="7F"/>
      </w:pBdr>
      <w:rPr>
        <w:rFonts w:asciiTheme="majorHAnsi" w:eastAsiaTheme="majorEastAsia" w:hAnsiTheme="majorHAnsi" w:cstheme="majorBidi"/>
      </w:rPr>
    </w:pPr>
    <w:r w:rsidRPr="00716BCE">
      <w:rPr>
        <w:rFonts w:asciiTheme="majorHAnsi" w:eastAsiaTheme="majorEastAsia" w:hAnsiTheme="majorHAnsi" w:cstheme="majorBidi"/>
        <w:sz w:val="20"/>
        <w:szCs w:val="20"/>
      </w:rPr>
      <w:t>E</w:t>
    </w:r>
    <w:r>
      <w:rPr>
        <w:rFonts w:asciiTheme="majorHAnsi" w:eastAsiaTheme="majorEastAsia" w:hAnsiTheme="majorHAnsi" w:cstheme="majorBidi"/>
        <w:sz w:val="20"/>
        <w:szCs w:val="20"/>
      </w:rPr>
      <w:t xml:space="preserve">CE- </w:t>
    </w:r>
    <w:r w:rsidRPr="00716BCE">
      <w:rPr>
        <w:rFonts w:asciiTheme="majorHAnsi" w:eastAsiaTheme="majorEastAsia" w:hAnsiTheme="majorHAnsi" w:cstheme="majorBidi"/>
        <w:sz w:val="20"/>
        <w:szCs w:val="20"/>
      </w:rPr>
      <w:t>G</w:t>
    </w:r>
    <w:r>
      <w:rPr>
        <w:rFonts w:asciiTheme="majorHAnsi" w:eastAsiaTheme="majorEastAsia" w:hAnsiTheme="majorHAnsi" w:cstheme="majorBidi"/>
        <w:sz w:val="20"/>
        <w:szCs w:val="20"/>
      </w:rPr>
      <w:t>uidance for Reimbursement of Federal and Other Awards</w:t>
    </w:r>
    <w:r>
      <w:rPr>
        <w:rFonts w:asciiTheme="majorHAnsi" w:eastAsiaTheme="majorEastAsia" w:hAnsiTheme="majorHAnsi" w:cstheme="majorBidi"/>
      </w:rPr>
      <w:t xml:space="preserve">. </w:t>
    </w:r>
  </w:p>
  <w:p w:rsidR="00716BCE" w:rsidRDefault="00716BCE" w:rsidP="00716B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3.24.16</w:t>
    </w:r>
    <w:r>
      <w:rPr>
        <w:rFonts w:asciiTheme="majorHAnsi" w:eastAsiaTheme="majorEastAsia" w:hAnsiTheme="majorHAnsi" w:cstheme="majorBidi"/>
      </w:rPr>
      <w:tab/>
    </w:r>
    <w:r>
      <w:rPr>
        <w:rFonts w:asciiTheme="majorHAnsi" w:eastAsiaTheme="majorEastAsia" w:hAnsiTheme="majorHAnsi" w:cstheme="majorBidi"/>
      </w:rPr>
      <w:tab/>
    </w:r>
    <w:r>
      <w:rPr>
        <w:rFonts w:eastAsiaTheme="minorEastAsia"/>
      </w:rPr>
      <w:fldChar w:fldCharType="begin"/>
    </w:r>
    <w:r>
      <w:instrText xml:space="preserve"> PAGE   \* MERGEFORMAT </w:instrText>
    </w:r>
    <w:r>
      <w:rPr>
        <w:rFonts w:eastAsiaTheme="minorEastAsia"/>
      </w:rPr>
      <w:fldChar w:fldCharType="separate"/>
    </w:r>
    <w:r w:rsidR="00DF5505" w:rsidRPr="00DF55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16BCE" w:rsidRDefault="00716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CE" w:rsidRDefault="00716BCE" w:rsidP="00716BCE">
      <w:pPr>
        <w:spacing w:after="0" w:line="240" w:lineRule="auto"/>
      </w:pPr>
      <w:r>
        <w:separator/>
      </w:r>
    </w:p>
  </w:footnote>
  <w:footnote w:type="continuationSeparator" w:id="0">
    <w:p w:rsidR="00716BCE" w:rsidRDefault="00716BCE" w:rsidP="00716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6A0"/>
    <w:multiLevelType w:val="hybridMultilevel"/>
    <w:tmpl w:val="8B08350E"/>
    <w:lvl w:ilvl="0" w:tplc="B2DE90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D67C4"/>
    <w:multiLevelType w:val="hybridMultilevel"/>
    <w:tmpl w:val="13BEE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476CA"/>
    <w:multiLevelType w:val="hybridMultilevel"/>
    <w:tmpl w:val="9D30CCB4"/>
    <w:lvl w:ilvl="0" w:tplc="04090019">
      <w:start w:val="1"/>
      <w:numFmt w:val="lowerLetter"/>
      <w:lvlText w:val="%1."/>
      <w:lvlJc w:val="left"/>
      <w:pPr>
        <w:ind w:left="720" w:hanging="360"/>
      </w:pPr>
    </w:lvl>
    <w:lvl w:ilvl="1" w:tplc="B136D492">
      <w:numFmt w:val="bullet"/>
      <w:lvlText w:val="•"/>
      <w:lvlJc w:val="left"/>
      <w:pPr>
        <w:ind w:left="1440" w:hanging="360"/>
      </w:pPr>
      <w:rPr>
        <w:rFonts w:ascii="Calibri" w:eastAsiaTheme="minorHAnsi" w:hAnsi="Calibri" w:cstheme="minorBidi"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D1882"/>
    <w:multiLevelType w:val="hybridMultilevel"/>
    <w:tmpl w:val="BE52EB1E"/>
    <w:lvl w:ilvl="0" w:tplc="04090001">
      <w:start w:val="1"/>
      <w:numFmt w:val="bullet"/>
      <w:lvlText w:val=""/>
      <w:lvlJc w:val="left"/>
      <w:pPr>
        <w:ind w:left="1440" w:hanging="360"/>
      </w:pPr>
      <w:rPr>
        <w:rFonts w:ascii="Symbol" w:hAnsi="Symbol" w:hint="default"/>
      </w:rPr>
    </w:lvl>
    <w:lvl w:ilvl="1" w:tplc="B136D492">
      <w:numFmt w:val="bullet"/>
      <w:lvlText w:val="•"/>
      <w:lvlJc w:val="left"/>
      <w:pPr>
        <w:ind w:left="2160" w:hanging="360"/>
      </w:pPr>
      <w:rPr>
        <w:rFonts w:ascii="Calibri" w:eastAsiaTheme="minorHAnsi" w:hAnsi="Calibri" w:cstheme="minorBidi"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81561"/>
    <w:multiLevelType w:val="hybridMultilevel"/>
    <w:tmpl w:val="CED8B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301AD7"/>
    <w:multiLevelType w:val="hybridMultilevel"/>
    <w:tmpl w:val="59BC1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C77BB0"/>
    <w:multiLevelType w:val="hybridMultilevel"/>
    <w:tmpl w:val="D80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06A6B"/>
    <w:multiLevelType w:val="hybridMultilevel"/>
    <w:tmpl w:val="4A82CB1C"/>
    <w:lvl w:ilvl="0" w:tplc="0E88C1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115AB"/>
    <w:multiLevelType w:val="hybridMultilevel"/>
    <w:tmpl w:val="CCDE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DE3DD0"/>
    <w:multiLevelType w:val="hybridMultilevel"/>
    <w:tmpl w:val="38C8ACEC"/>
    <w:lvl w:ilvl="0" w:tplc="B136D49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8F7D69"/>
    <w:multiLevelType w:val="hybridMultilevel"/>
    <w:tmpl w:val="EEB431A8"/>
    <w:lvl w:ilvl="0" w:tplc="B136D49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91DAD"/>
    <w:multiLevelType w:val="hybridMultilevel"/>
    <w:tmpl w:val="E77C03C4"/>
    <w:lvl w:ilvl="0" w:tplc="B136D49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D18B3"/>
    <w:multiLevelType w:val="hybridMultilevel"/>
    <w:tmpl w:val="661A88C6"/>
    <w:lvl w:ilvl="0" w:tplc="D39829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F7D5E"/>
    <w:multiLevelType w:val="hybridMultilevel"/>
    <w:tmpl w:val="8A80E646"/>
    <w:lvl w:ilvl="0" w:tplc="5B763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D31E1"/>
    <w:multiLevelType w:val="hybridMultilevel"/>
    <w:tmpl w:val="7A3001BC"/>
    <w:lvl w:ilvl="0" w:tplc="B136D49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6B6361"/>
    <w:multiLevelType w:val="hybridMultilevel"/>
    <w:tmpl w:val="B1A47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C7A39"/>
    <w:multiLevelType w:val="hybridMultilevel"/>
    <w:tmpl w:val="C35E76D0"/>
    <w:lvl w:ilvl="0" w:tplc="103043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806F7"/>
    <w:multiLevelType w:val="hybridMultilevel"/>
    <w:tmpl w:val="E71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12E6C"/>
    <w:multiLevelType w:val="hybridMultilevel"/>
    <w:tmpl w:val="2938A810"/>
    <w:lvl w:ilvl="0" w:tplc="04090019">
      <w:start w:val="1"/>
      <w:numFmt w:val="lowerLetter"/>
      <w:lvlText w:val="%1."/>
      <w:lvlJc w:val="left"/>
      <w:pPr>
        <w:ind w:left="720" w:hanging="360"/>
      </w:pPr>
    </w:lvl>
    <w:lvl w:ilvl="1" w:tplc="B136D492">
      <w:numFmt w:val="bullet"/>
      <w:lvlText w:val="•"/>
      <w:lvlJc w:val="left"/>
      <w:pPr>
        <w:ind w:left="1440" w:hanging="360"/>
      </w:pPr>
      <w:rPr>
        <w:rFonts w:ascii="Calibri" w:eastAsiaTheme="minorHAnsi" w:hAnsi="Calibri" w:cstheme="minorBidi"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04882"/>
    <w:multiLevelType w:val="hybridMultilevel"/>
    <w:tmpl w:val="CAC6C01E"/>
    <w:lvl w:ilvl="0" w:tplc="B136D49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CE3A12"/>
    <w:multiLevelType w:val="hybridMultilevel"/>
    <w:tmpl w:val="E5462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E1587"/>
    <w:multiLevelType w:val="hybridMultilevel"/>
    <w:tmpl w:val="35AEB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9"/>
  </w:num>
  <w:num w:numId="4">
    <w:abstractNumId w:val="16"/>
  </w:num>
  <w:num w:numId="5">
    <w:abstractNumId w:val="9"/>
  </w:num>
  <w:num w:numId="6">
    <w:abstractNumId w:val="0"/>
  </w:num>
  <w:num w:numId="7">
    <w:abstractNumId w:val="14"/>
  </w:num>
  <w:num w:numId="8">
    <w:abstractNumId w:val="13"/>
  </w:num>
  <w:num w:numId="9">
    <w:abstractNumId w:val="2"/>
  </w:num>
  <w:num w:numId="10">
    <w:abstractNumId w:val="7"/>
  </w:num>
  <w:num w:numId="11">
    <w:abstractNumId w:val="20"/>
  </w:num>
  <w:num w:numId="12">
    <w:abstractNumId w:val="15"/>
  </w:num>
  <w:num w:numId="13">
    <w:abstractNumId w:val="10"/>
  </w:num>
  <w:num w:numId="14">
    <w:abstractNumId w:val="4"/>
  </w:num>
  <w:num w:numId="15">
    <w:abstractNumId w:val="1"/>
  </w:num>
  <w:num w:numId="16">
    <w:abstractNumId w:val="3"/>
  </w:num>
  <w:num w:numId="17">
    <w:abstractNumId w:val="6"/>
  </w:num>
  <w:num w:numId="18">
    <w:abstractNumId w:val="12"/>
  </w:num>
  <w:num w:numId="19">
    <w:abstractNumId w:val="5"/>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A4"/>
    <w:rsid w:val="00087997"/>
    <w:rsid w:val="0012494C"/>
    <w:rsid w:val="005A2E51"/>
    <w:rsid w:val="006346C1"/>
    <w:rsid w:val="00716BCE"/>
    <w:rsid w:val="007459F4"/>
    <w:rsid w:val="007C7B16"/>
    <w:rsid w:val="007E7800"/>
    <w:rsid w:val="009D2BD8"/>
    <w:rsid w:val="00A507A4"/>
    <w:rsid w:val="00B97C27"/>
    <w:rsid w:val="00BF5193"/>
    <w:rsid w:val="00D36A12"/>
    <w:rsid w:val="00D90B5E"/>
    <w:rsid w:val="00DD6441"/>
    <w:rsid w:val="00DF5505"/>
    <w:rsid w:val="00F92C8D"/>
    <w:rsid w:val="00F9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A4"/>
    <w:pPr>
      <w:ind w:left="720"/>
      <w:contextualSpacing/>
    </w:pPr>
  </w:style>
  <w:style w:type="paragraph" w:styleId="Header">
    <w:name w:val="header"/>
    <w:basedOn w:val="Normal"/>
    <w:link w:val="HeaderChar"/>
    <w:uiPriority w:val="99"/>
    <w:unhideWhenUsed/>
    <w:rsid w:val="0071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CE"/>
  </w:style>
  <w:style w:type="paragraph" w:styleId="Footer">
    <w:name w:val="footer"/>
    <w:basedOn w:val="Normal"/>
    <w:link w:val="FooterChar"/>
    <w:uiPriority w:val="99"/>
    <w:unhideWhenUsed/>
    <w:rsid w:val="0071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CE"/>
  </w:style>
  <w:style w:type="paragraph" w:styleId="BalloonText">
    <w:name w:val="Balloon Text"/>
    <w:basedOn w:val="Normal"/>
    <w:link w:val="BalloonTextChar"/>
    <w:uiPriority w:val="99"/>
    <w:semiHidden/>
    <w:unhideWhenUsed/>
    <w:rsid w:val="007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A4"/>
    <w:pPr>
      <w:ind w:left="720"/>
      <w:contextualSpacing/>
    </w:pPr>
  </w:style>
  <w:style w:type="paragraph" w:styleId="Header">
    <w:name w:val="header"/>
    <w:basedOn w:val="Normal"/>
    <w:link w:val="HeaderChar"/>
    <w:uiPriority w:val="99"/>
    <w:unhideWhenUsed/>
    <w:rsid w:val="0071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CE"/>
  </w:style>
  <w:style w:type="paragraph" w:styleId="Footer">
    <w:name w:val="footer"/>
    <w:basedOn w:val="Normal"/>
    <w:link w:val="FooterChar"/>
    <w:uiPriority w:val="99"/>
    <w:unhideWhenUsed/>
    <w:rsid w:val="0071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CE"/>
  </w:style>
  <w:style w:type="paragraph" w:styleId="BalloonText">
    <w:name w:val="Balloon Text"/>
    <w:basedOn w:val="Normal"/>
    <w:link w:val="BalloonTextChar"/>
    <w:uiPriority w:val="99"/>
    <w:semiHidden/>
    <w:unhideWhenUsed/>
    <w:rsid w:val="007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Panqueva, Juliana</dc:creator>
  <cp:lastModifiedBy>smannin</cp:lastModifiedBy>
  <cp:revision>2</cp:revision>
  <cp:lastPrinted>2016-03-24T21:03:00Z</cp:lastPrinted>
  <dcterms:created xsi:type="dcterms:W3CDTF">2016-05-03T20:07:00Z</dcterms:created>
  <dcterms:modified xsi:type="dcterms:W3CDTF">2016-05-03T20:07:00Z</dcterms:modified>
</cp:coreProperties>
</file>